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1C64" w14:textId="77777777" w:rsidR="00035585" w:rsidRPr="00112B45" w:rsidRDefault="00035585" w:rsidP="00035585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val="en-AU"/>
        </w:rPr>
      </w:pPr>
      <w:r w:rsidRPr="00112B45">
        <w:rPr>
          <w:rFonts w:ascii="Calibri" w:eastAsia="Times New Roman" w:hAnsi="Calibri" w:cs="Times New Roman"/>
          <w:b/>
          <w:u w:val="single"/>
          <w:lang w:val="en-AU"/>
        </w:rPr>
        <w:t xml:space="preserve">APPENDIX “A” </w:t>
      </w:r>
    </w:p>
    <w:p w14:paraId="54AFE3E5" w14:textId="77777777" w:rsidR="00035585" w:rsidRPr="00112B45" w:rsidRDefault="00035585" w:rsidP="00035585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val="en-AU"/>
        </w:rPr>
      </w:pPr>
      <w:r w:rsidRPr="00112B45">
        <w:rPr>
          <w:rFonts w:ascii="Calibri" w:eastAsia="Times New Roman" w:hAnsi="Calibri" w:cs="Times New Roman"/>
          <w:b/>
          <w:u w:val="single"/>
          <w:lang w:val="en-AU"/>
        </w:rPr>
        <w:t>CONSULTATION PLANNING</w:t>
      </w:r>
    </w:p>
    <w:p w14:paraId="7AC6B18A" w14:textId="77777777" w:rsidR="00035585" w:rsidRPr="00112B45" w:rsidRDefault="00035585" w:rsidP="00035585">
      <w:pPr>
        <w:spacing w:after="0" w:line="240" w:lineRule="auto"/>
        <w:rPr>
          <w:rFonts w:ascii="Calibri" w:eastAsia="Times New Roman" w:hAnsi="Calibri" w:cs="Times New Roman"/>
          <w:i/>
          <w:u w:val="single"/>
          <w:lang w:val="en-AU"/>
        </w:rPr>
      </w:pPr>
    </w:p>
    <w:p w14:paraId="3395E3CF" w14:textId="77777777" w:rsidR="00035585" w:rsidRPr="00112B45" w:rsidRDefault="00035585" w:rsidP="00035585">
      <w:pPr>
        <w:spacing w:after="0" w:line="240" w:lineRule="auto"/>
        <w:rPr>
          <w:rFonts w:ascii="Calibri" w:eastAsia="Times New Roman" w:hAnsi="Calibri" w:cs="Times New Roman"/>
          <w:i/>
          <w:u w:val="single"/>
          <w:lang w:val="en-AU"/>
        </w:rPr>
      </w:pPr>
    </w:p>
    <w:p w14:paraId="17045E81" w14:textId="065621A1" w:rsidR="00035585" w:rsidRPr="00112B45" w:rsidRDefault="00035585" w:rsidP="00D3094A">
      <w:pPr>
        <w:spacing w:after="0" w:line="276" w:lineRule="auto"/>
        <w:rPr>
          <w:rFonts w:ascii="Calibri" w:eastAsia="Times New Roman" w:hAnsi="Calibri" w:cs="Times New Roman"/>
          <w:lang w:val="en-AU"/>
        </w:rPr>
      </w:pPr>
      <w:r w:rsidRPr="00112B45">
        <w:rPr>
          <w:rFonts w:ascii="Calibri" w:eastAsia="Times New Roman" w:hAnsi="Calibri" w:cs="Times New Roman"/>
          <w:lang w:val="en-AU"/>
        </w:rPr>
        <w:t xml:space="preserve">College policies can be complex.  They can have broad, </w:t>
      </w:r>
      <w:r w:rsidR="00D3094A" w:rsidRPr="00112B45">
        <w:rPr>
          <w:rFonts w:ascii="Calibri" w:eastAsia="Times New Roman" w:hAnsi="Calibri" w:cs="Times New Roman"/>
          <w:lang w:val="en-AU"/>
        </w:rPr>
        <w:t>differing,</w:t>
      </w:r>
      <w:r w:rsidRPr="00112B45">
        <w:rPr>
          <w:rFonts w:ascii="Calibri" w:eastAsia="Times New Roman" w:hAnsi="Calibri" w:cs="Times New Roman"/>
          <w:lang w:val="en-AU"/>
        </w:rPr>
        <w:t xml:space="preserve"> or unanticipated impacts on College Community stakeholders.  Seeking input from relevant stakeholders </w:t>
      </w:r>
      <w:r w:rsidRPr="00112B45">
        <w:rPr>
          <w:rFonts w:ascii="Calibri" w:eastAsia="Times New Roman" w:hAnsi="Calibri" w:cs="Times New Roman"/>
          <w:b/>
          <w:u w:val="single"/>
          <w:lang w:val="en-AU"/>
        </w:rPr>
        <w:t>in advance of drafting the policy</w:t>
      </w:r>
      <w:r w:rsidR="00112B45" w:rsidRPr="00112B45">
        <w:rPr>
          <w:rFonts w:ascii="Calibri" w:eastAsia="Times New Roman" w:hAnsi="Calibri" w:cs="Times New Roman"/>
          <w:lang w:val="en-AU"/>
        </w:rPr>
        <w:t xml:space="preserve"> can surface issues and gaps.  </w:t>
      </w:r>
      <w:r w:rsidRPr="00112B45">
        <w:rPr>
          <w:rFonts w:ascii="Calibri" w:eastAsia="Times New Roman" w:hAnsi="Calibri" w:cs="Times New Roman"/>
          <w:lang w:val="en-AU"/>
        </w:rPr>
        <w:t>This consultation plan is designed to assist you in planning to consult with the relevant members of the College Community while planning and drafting your policy. It is int</w:t>
      </w:r>
      <w:r w:rsidR="00112B45" w:rsidRPr="00112B45">
        <w:rPr>
          <w:rFonts w:ascii="Calibri" w:eastAsia="Times New Roman" w:hAnsi="Calibri" w:cs="Times New Roman"/>
          <w:lang w:val="en-AU"/>
        </w:rPr>
        <w:t xml:space="preserve">ended to help you identify the </w:t>
      </w:r>
      <w:r w:rsidRPr="00112B45">
        <w:rPr>
          <w:rFonts w:ascii="Calibri" w:eastAsia="Times New Roman" w:hAnsi="Calibri" w:cs="Times New Roman"/>
          <w:lang w:val="en-AU"/>
        </w:rPr>
        <w:t xml:space="preserve">subject matter </w:t>
      </w:r>
      <w:r w:rsidR="00D3094A" w:rsidRPr="00112B45">
        <w:rPr>
          <w:rFonts w:ascii="Calibri" w:eastAsia="Times New Roman" w:hAnsi="Calibri" w:cs="Times New Roman"/>
          <w:lang w:val="en-AU"/>
        </w:rPr>
        <w:t>experts and</w:t>
      </w:r>
      <w:r w:rsidRPr="00112B45">
        <w:rPr>
          <w:rFonts w:ascii="Calibri" w:eastAsia="Times New Roman" w:hAnsi="Calibri" w:cs="Times New Roman"/>
          <w:lang w:val="en-AU"/>
        </w:rPr>
        <w:t xml:space="preserve"> relevant stakeholders you may considering meeting and with whom you may work together to develop an approach to drafting and/or renewing the policy/procedure. </w:t>
      </w:r>
    </w:p>
    <w:p w14:paraId="1DAA4040" w14:textId="77777777" w:rsidR="00035585" w:rsidRPr="00112B45" w:rsidRDefault="00035585" w:rsidP="00D3094A">
      <w:pPr>
        <w:spacing w:after="0" w:line="276" w:lineRule="auto"/>
        <w:jc w:val="center"/>
        <w:rPr>
          <w:rFonts w:ascii="Calibri" w:eastAsia="Times New Roman" w:hAnsi="Calibri" w:cs="Times New Roman"/>
          <w:u w:val="single"/>
          <w:lang w:val="en-AU"/>
        </w:rPr>
      </w:pPr>
    </w:p>
    <w:tbl>
      <w:tblPr>
        <w:tblW w:w="5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970"/>
        <w:gridCol w:w="7076"/>
      </w:tblGrid>
      <w:tr w:rsidR="00035585" w:rsidRPr="00112B45" w14:paraId="01C17E5A" w14:textId="77777777" w:rsidTr="00C133CE">
        <w:trPr>
          <w:cantSplit/>
          <w:trHeight w:val="20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276FA960" w14:textId="3BC53178" w:rsidR="00474FFA" w:rsidRPr="00112B45" w:rsidRDefault="00035585" w:rsidP="00D3094A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  <w:r w:rsidRPr="00112B45">
              <w:rPr>
                <w:rFonts w:ascii="Calibri" w:eastAsia="Times New Roman" w:hAnsi="Calibri" w:cs="Times New Roman"/>
                <w:b/>
              </w:rPr>
              <w:t>Consider wh</w:t>
            </w:r>
            <w:r w:rsidR="00474FFA" w:rsidRPr="00112B45">
              <w:rPr>
                <w:rFonts w:ascii="Calibri" w:eastAsia="Times New Roman" w:hAnsi="Calibri" w:cs="Times New Roman"/>
                <w:b/>
              </w:rPr>
              <w:t>ether any other</w:t>
            </w:r>
            <w:r w:rsidR="00112B45" w:rsidRPr="00112B45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112B45">
              <w:rPr>
                <w:rFonts w:ascii="Calibri" w:eastAsia="Times New Roman" w:hAnsi="Calibri" w:cs="Times New Roman"/>
                <w:b/>
              </w:rPr>
              <w:t xml:space="preserve">College </w:t>
            </w:r>
            <w:r w:rsidR="00474FFA" w:rsidRPr="00112B45">
              <w:rPr>
                <w:rFonts w:ascii="Calibri" w:eastAsia="Times New Roman" w:hAnsi="Calibri" w:cs="Times New Roman"/>
                <w:b/>
              </w:rPr>
              <w:t>stakeholders</w:t>
            </w:r>
            <w:r w:rsidRPr="00112B45">
              <w:rPr>
                <w:rFonts w:ascii="Calibri" w:eastAsia="Times New Roman" w:hAnsi="Calibri" w:cs="Times New Roman"/>
                <w:b/>
              </w:rPr>
              <w:t xml:space="preserve">, including students, are impacted and could </w:t>
            </w:r>
            <w:r w:rsidR="00474FFA" w:rsidRPr="00112B45">
              <w:rPr>
                <w:rFonts w:ascii="Calibri" w:eastAsia="Times New Roman" w:hAnsi="Calibri" w:cs="Times New Roman"/>
                <w:b/>
              </w:rPr>
              <w:t xml:space="preserve">or should be </w:t>
            </w:r>
            <w:r w:rsidRPr="00112B45">
              <w:rPr>
                <w:rFonts w:ascii="Calibri" w:eastAsia="Times New Roman" w:hAnsi="Calibri" w:cs="Times New Roman"/>
                <w:b/>
              </w:rPr>
              <w:t>consulted as part of the policy/procedure’s development:</w:t>
            </w:r>
          </w:p>
        </w:tc>
      </w:tr>
      <w:tr w:rsidR="00035585" w:rsidRPr="00112B45" w14:paraId="0E3E2260" w14:textId="77777777" w:rsidTr="00C133CE">
        <w:trPr>
          <w:cantSplit/>
          <w:trHeight w:val="20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7718F831" w14:textId="46FD9144" w:rsidR="00035585" w:rsidRPr="00112B45" w:rsidRDefault="00035585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Students’ Association                                        </w:t>
            </w:r>
            <w:r w:rsidR="00112B45" w:rsidRPr="00112B45">
              <w:rPr>
                <w:rFonts w:ascii="Calibri" w:eastAsia="Times New Roman" w:hAnsi="Calibri" w:cs="Times New Roman"/>
              </w:rPr>
              <w:t xml:space="preserve">     </w:t>
            </w:r>
            <w:r w:rsidRPr="00112B45">
              <w:rPr>
                <w:rFonts w:ascii="Calibri" w:eastAsia="Times New Roman" w:hAnsi="Calibri" w:cs="Times New Roman"/>
              </w:rPr>
              <w:t xml:space="preserve">     </w:t>
            </w:r>
            <w:r w:rsidR="00112B45" w:rsidRPr="00112B45">
              <w:rPr>
                <w:rFonts w:ascii="Calibri" w:eastAsia="Times New Roman" w:hAnsi="Calibri" w:cs="Times New Roman"/>
              </w:rPr>
              <w:t xml:space="preserve">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r w:rsidR="002A6364">
              <w:rPr>
                <w:rFonts w:ascii="Calibri" w:eastAsia="Times New Roman" w:hAnsi="Calibri" w:cs="Times New Roman"/>
              </w:rPr>
              <w:t xml:space="preserve">            </w:t>
            </w:r>
            <w:r w:rsidR="00112B45">
              <w:rPr>
                <w:rFonts w:ascii="Calibri" w:eastAsia="Times New Roman" w:hAnsi="Calibri" w:cs="Times New Roman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-8528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13F6642B" w14:textId="620985CC" w:rsidR="00035585" w:rsidRPr="00112B45" w:rsidRDefault="00035585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>Human Resources/</w:t>
            </w:r>
            <w:proofErr w:type="spellStart"/>
            <w:r w:rsidRPr="00112B45">
              <w:rPr>
                <w:rFonts w:ascii="Calibri" w:eastAsia="Times New Roman" w:hAnsi="Calibri" w:cs="Times New Roman"/>
              </w:rPr>
              <w:t>Labour</w:t>
            </w:r>
            <w:proofErr w:type="spellEnd"/>
            <w:r w:rsidRPr="00112B45">
              <w:rPr>
                <w:rFonts w:ascii="Calibri" w:eastAsia="Times New Roman" w:hAnsi="Calibri" w:cs="Times New Roman"/>
              </w:rPr>
              <w:t xml:space="preserve"> Relations                     </w:t>
            </w:r>
            <w:r w:rsidR="002A6364">
              <w:rPr>
                <w:rFonts w:ascii="Calibri" w:eastAsia="Times New Roman" w:hAnsi="Calibri" w:cs="Times New Roman"/>
              </w:rPr>
              <w:t xml:space="preserve">            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r w:rsidR="00112B45" w:rsidRPr="00112B45">
              <w:rPr>
                <w:rFonts w:ascii="Calibri" w:eastAsia="Times New Roman" w:hAnsi="Calibri" w:cs="Times New Roman"/>
              </w:rPr>
              <w:t xml:space="preserve">    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18236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ab/>
              <w:t xml:space="preserve"> </w:t>
            </w:r>
          </w:p>
          <w:p w14:paraId="122A849A" w14:textId="225ECCE9" w:rsidR="00474FFA" w:rsidRPr="00112B45" w:rsidRDefault="00474FFA" w:rsidP="002A6364">
            <w:pPr>
              <w:tabs>
                <w:tab w:val="left" w:pos="3620"/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Sustainability                                                               </w:t>
            </w:r>
            <w:r w:rsidR="00112B45">
              <w:rPr>
                <w:rFonts w:ascii="Calibri" w:eastAsia="Times New Roman" w:hAnsi="Calibri" w:cs="Times New Roman"/>
              </w:rPr>
              <w:t xml:space="preserve">   </w:t>
            </w:r>
            <w:r w:rsidR="002A6364">
              <w:rPr>
                <w:rFonts w:ascii="Calibri" w:eastAsia="Times New Roman" w:hAnsi="Calibri" w:cs="Times New Roman"/>
              </w:rPr>
              <w:t xml:space="preserve">            </w:t>
            </w:r>
            <w:r w:rsidRPr="00112B45">
              <w:rPr>
                <w:rFonts w:ascii="Calibri" w:eastAsia="Times New Roman" w:hAnsi="Calibri" w:cs="Times New Roman"/>
              </w:rPr>
              <w:t xml:space="preserve">  </w:t>
            </w:r>
            <w:r w:rsid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8702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 xml:space="preserve">   </w:t>
            </w:r>
          </w:p>
          <w:p w14:paraId="6E6D9378" w14:textId="646C7F89" w:rsidR="00035585" w:rsidRPr="00112B45" w:rsidRDefault="00035585" w:rsidP="002A6364">
            <w:pPr>
              <w:tabs>
                <w:tab w:val="left" w:pos="3620"/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Advancement </w:t>
            </w:r>
            <w:r w:rsidRPr="00112B45">
              <w:rPr>
                <w:rFonts w:ascii="Calibri" w:eastAsia="Times New Roman" w:hAnsi="Calibri" w:cs="Times New Roman"/>
              </w:rPr>
              <w:tab/>
              <w:t xml:space="preserve">      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     </w:t>
            </w:r>
            <w:r w:rsidR="00112B45">
              <w:rPr>
                <w:rFonts w:ascii="Calibri" w:eastAsia="Times New Roman" w:hAnsi="Calibri" w:cs="Times New Roman"/>
              </w:rPr>
              <w:t xml:space="preserve">  </w:t>
            </w:r>
            <w:r w:rsidR="002A6364">
              <w:rPr>
                <w:rFonts w:ascii="Calibri" w:eastAsia="Times New Roman" w:hAnsi="Calibri" w:cs="Times New Roman"/>
              </w:rPr>
              <w:t xml:space="preserve">             </w:t>
            </w:r>
            <w:r w:rsidR="00112B45">
              <w:rPr>
                <w:rFonts w:ascii="Calibri" w:eastAsia="Times New Roman" w:hAnsi="Calibri" w:cs="Times New Roman"/>
              </w:rPr>
              <w:t xml:space="preserve">  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30378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 xml:space="preserve"> </w:t>
            </w:r>
          </w:p>
          <w:p w14:paraId="7CBF583A" w14:textId="316587AF" w:rsidR="00035585" w:rsidRPr="00112B45" w:rsidRDefault="00035585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Communications                          </w:t>
            </w:r>
            <w:r w:rsidRPr="00112B45">
              <w:rPr>
                <w:rFonts w:ascii="Calibri" w:eastAsia="Times New Roman" w:hAnsi="Calibri" w:cs="Times New Roman"/>
              </w:rPr>
              <w:tab/>
            </w:r>
            <w:r w:rsidR="002A6364">
              <w:rPr>
                <w:rFonts w:ascii="Calibri" w:eastAsia="Times New Roman" w:hAnsi="Calibri" w:cs="Times New Roman"/>
              </w:rPr>
              <w:t xml:space="preserve">             </w:t>
            </w:r>
            <w:r w:rsidR="00112B45">
              <w:rPr>
                <w:rFonts w:ascii="Calibri" w:eastAsia="Times New Roman" w:hAnsi="Calibri" w:cs="Times New Roman"/>
              </w:rPr>
              <w:t xml:space="preserve">  </w:t>
            </w:r>
            <w:r w:rsidRPr="00112B45">
              <w:rPr>
                <w:rFonts w:ascii="Calibri" w:eastAsia="Times New Roman" w:hAnsi="Calibri" w:cs="Times New Roman"/>
              </w:rPr>
              <w:t xml:space="preserve">  </w:t>
            </w:r>
            <w:r w:rsidR="00112B45"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8083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 xml:space="preserve">  </w:t>
            </w:r>
          </w:p>
          <w:p w14:paraId="53A8B02A" w14:textId="1F13010B" w:rsidR="00035585" w:rsidRPr="00112B45" w:rsidRDefault="00035585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Research, </w:t>
            </w:r>
            <w:proofErr w:type="gramStart"/>
            <w:r w:rsidRPr="00112B45">
              <w:rPr>
                <w:rFonts w:ascii="Calibri" w:eastAsia="Times New Roman" w:hAnsi="Calibri" w:cs="Times New Roman"/>
              </w:rPr>
              <w:t>Partnerships</w:t>
            </w:r>
            <w:proofErr w:type="gramEnd"/>
            <w:r w:rsidRPr="00112B45">
              <w:rPr>
                <w:rFonts w:ascii="Calibri" w:eastAsia="Times New Roman" w:hAnsi="Calibri" w:cs="Times New Roman"/>
              </w:rPr>
              <w:t xml:space="preserve"> and Innovation               </w:t>
            </w:r>
            <w:r w:rsidR="002A6364">
              <w:rPr>
                <w:rFonts w:ascii="Calibri" w:eastAsia="Times New Roman" w:hAnsi="Calibri" w:cs="Times New Roman"/>
              </w:rPr>
              <w:t xml:space="preserve">             </w:t>
            </w:r>
            <w:r w:rsidRPr="00112B45">
              <w:rPr>
                <w:rFonts w:ascii="Calibri" w:eastAsia="Times New Roman" w:hAnsi="Calibri" w:cs="Times New Roman"/>
              </w:rPr>
              <w:t xml:space="preserve">   </w:t>
            </w:r>
            <w:r w:rsidR="00112B45">
              <w:rPr>
                <w:rFonts w:ascii="Calibri" w:eastAsia="Times New Roman" w:hAnsi="Calibri" w:cs="Times New Roman"/>
              </w:rPr>
              <w:t xml:space="preserve">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 </w:t>
            </w:r>
            <w:r w:rsidRPr="00112B45">
              <w:rPr>
                <w:rFonts w:ascii="Calibri" w:eastAsia="Times New Roman" w:hAnsi="Calibri" w:cs="Times New Roman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</w:rPr>
                <w:id w:val="13193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ab/>
            </w:r>
          </w:p>
          <w:p w14:paraId="097B2848" w14:textId="5DD2D42F" w:rsidR="00035585" w:rsidRPr="00112B45" w:rsidRDefault="00035585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Finance                                                                   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 </w:t>
            </w:r>
            <w:r w:rsidR="002A6364">
              <w:rPr>
                <w:rFonts w:ascii="Calibri" w:eastAsia="Times New Roman" w:hAnsi="Calibri" w:cs="Times New Roman"/>
              </w:rPr>
              <w:t xml:space="preserve">            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 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r w:rsidR="00112B45">
              <w:rPr>
                <w:rFonts w:ascii="Calibri" w:eastAsia="Times New Roman" w:hAnsi="Calibri" w:cs="Times New Roman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</w:rPr>
                <w:id w:val="-6246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ab/>
            </w:r>
          </w:p>
          <w:p w14:paraId="54C510A5" w14:textId="7C230096" w:rsidR="00035585" w:rsidRPr="00112B45" w:rsidRDefault="00035585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>ITS</w:t>
            </w:r>
            <w:r w:rsidRPr="00112B45">
              <w:rPr>
                <w:rFonts w:ascii="Calibri" w:eastAsia="Times New Roman" w:hAnsi="Calibri" w:cs="Times New Roman"/>
              </w:rPr>
              <w:tab/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  </w:t>
            </w:r>
            <w:r w:rsidR="002A6364">
              <w:rPr>
                <w:rFonts w:ascii="Calibri" w:eastAsia="Times New Roman" w:hAnsi="Calibri" w:cs="Times New Roman"/>
              </w:rPr>
              <w:t xml:space="preserve">            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0318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14:paraId="271C7684" w14:textId="65DA81D0" w:rsidR="00035585" w:rsidRPr="00112B45" w:rsidRDefault="00474FFA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>Safety and Health</w:t>
            </w:r>
            <w:r w:rsidR="00035585" w:rsidRPr="00112B45">
              <w:rPr>
                <w:rFonts w:ascii="Calibri" w:eastAsia="Times New Roman" w:hAnsi="Calibri" w:cs="Times New Roman"/>
              </w:rPr>
              <w:tab/>
            </w:r>
            <w:r w:rsidR="002A6364">
              <w:rPr>
                <w:rFonts w:ascii="Calibri" w:eastAsia="Times New Roman" w:hAnsi="Calibri" w:cs="Times New Roman"/>
              </w:rPr>
              <w:t xml:space="preserve">             </w:t>
            </w:r>
            <w:r w:rsidRPr="00112B45">
              <w:rPr>
                <w:rFonts w:ascii="Calibri" w:eastAsia="Times New Roman" w:hAnsi="Calibri" w:cs="Times New Roman"/>
              </w:rPr>
              <w:t xml:space="preserve">    </w:t>
            </w:r>
            <w:r w:rsidR="00035585"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82270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85"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14:paraId="09FB6100" w14:textId="0AB2E434" w:rsidR="00035585" w:rsidRPr="00112B45" w:rsidRDefault="00474FFA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>School of Business and Applied Arts</w:t>
            </w:r>
            <w:r w:rsidR="00035585" w:rsidRPr="00112B45">
              <w:rPr>
                <w:rFonts w:ascii="Calibri" w:eastAsia="Times New Roman" w:hAnsi="Calibri" w:cs="Times New Roman"/>
              </w:rPr>
              <w:tab/>
            </w:r>
            <w:r w:rsidR="002A6364">
              <w:rPr>
                <w:rFonts w:ascii="Calibri" w:eastAsia="Times New Roman" w:hAnsi="Calibri" w:cs="Times New Roman"/>
              </w:rPr>
              <w:t xml:space="preserve">             </w:t>
            </w:r>
            <w:r w:rsidR="00035585" w:rsidRPr="00112B45">
              <w:rPr>
                <w:rFonts w:ascii="Calibri" w:eastAsia="Times New Roman" w:hAnsi="Calibri" w:cs="Times New Roman"/>
              </w:rPr>
              <w:t xml:space="preserve">  </w:t>
            </w:r>
            <w:r w:rsidRPr="00112B45">
              <w:rPr>
                <w:rFonts w:ascii="Calibri" w:eastAsia="Times New Roman" w:hAnsi="Calibri" w:cs="Times New Roman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-18597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85"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14:paraId="60CCA27E" w14:textId="0BE957FD" w:rsidR="00474FFA" w:rsidRPr="00112B45" w:rsidRDefault="00474FFA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School of Continuing Education                             </w:t>
            </w:r>
            <w:r w:rsidR="002A6364">
              <w:rPr>
                <w:rFonts w:ascii="Calibri" w:eastAsia="Times New Roman" w:hAnsi="Calibri" w:cs="Times New Roman"/>
              </w:rPr>
              <w:t xml:space="preserve">             </w:t>
            </w:r>
            <w:r w:rsidRPr="00112B45">
              <w:rPr>
                <w:rFonts w:ascii="Calibri" w:eastAsia="Times New Roman" w:hAnsi="Calibri" w:cs="Times New Roman"/>
              </w:rPr>
              <w:t xml:space="preserve">     </w:t>
            </w:r>
            <w:r w:rsidR="00112B45">
              <w:rPr>
                <w:rFonts w:ascii="Calibri" w:eastAsia="Times New Roman" w:hAnsi="Calibri" w:cs="Times New Roman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</w:rPr>
                <w:id w:val="-58313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 xml:space="preserve">   </w:t>
            </w:r>
          </w:p>
          <w:p w14:paraId="7EAD49D3" w14:textId="11E14820" w:rsidR="00474FFA" w:rsidRPr="00112B45" w:rsidRDefault="00474FFA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School of Education Arts and Sciences                 </w:t>
            </w:r>
            <w:r w:rsidR="002A6364">
              <w:rPr>
                <w:rFonts w:ascii="Calibri" w:eastAsia="Times New Roman" w:hAnsi="Calibri" w:cs="Times New Roman"/>
              </w:rPr>
              <w:t xml:space="preserve">             </w:t>
            </w:r>
            <w:r w:rsidRPr="00112B45">
              <w:rPr>
                <w:rFonts w:ascii="Calibri" w:eastAsia="Times New Roman" w:hAnsi="Calibri" w:cs="Times New Roman"/>
              </w:rPr>
              <w:t xml:space="preserve">      </w:t>
            </w:r>
            <w:r w:rsid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98884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 xml:space="preserve">   </w:t>
            </w:r>
          </w:p>
          <w:p w14:paraId="7A599C47" w14:textId="0A98A47B" w:rsidR="00474FFA" w:rsidRPr="00112B45" w:rsidRDefault="00474FFA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>School of Health Sciences and Community Services</w:t>
            </w:r>
            <w:r w:rsidR="002A6364">
              <w:rPr>
                <w:rFonts w:ascii="Calibri" w:eastAsia="Times New Roman" w:hAnsi="Calibri" w:cs="Times New Roman"/>
              </w:rPr>
              <w:t xml:space="preserve">            </w:t>
            </w:r>
            <w:r w:rsidR="00112B45">
              <w:rPr>
                <w:rFonts w:ascii="Calibri" w:eastAsia="Times New Roman" w:hAnsi="Calibri" w:cs="Times New Roman"/>
              </w:rPr>
              <w:t xml:space="preserve">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69150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 xml:space="preserve">   </w:t>
            </w:r>
          </w:p>
          <w:p w14:paraId="6ADBB8FB" w14:textId="1CEAC6A5" w:rsidR="00474FFA" w:rsidRPr="00112B45" w:rsidRDefault="00474FFA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School of Hospitality and Culinary Arts                     </w:t>
            </w:r>
            <w:r w:rsidR="002A6364">
              <w:rPr>
                <w:rFonts w:ascii="Calibri" w:eastAsia="Times New Roman" w:hAnsi="Calibri" w:cs="Times New Roman"/>
              </w:rPr>
              <w:t xml:space="preserve">           </w:t>
            </w:r>
            <w:r w:rsidRPr="00112B45">
              <w:rPr>
                <w:rFonts w:ascii="Calibri" w:eastAsia="Times New Roman" w:hAnsi="Calibri" w:cs="Times New Roman"/>
              </w:rPr>
              <w:t xml:space="preserve">  </w:t>
            </w:r>
            <w:r w:rsidR="00112B45">
              <w:rPr>
                <w:rFonts w:ascii="Calibri" w:eastAsia="Times New Roman" w:hAnsi="Calibri" w:cs="Times New Roman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</w:rPr>
                <w:id w:val="-86822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 xml:space="preserve">   </w:t>
            </w:r>
          </w:p>
          <w:p w14:paraId="3F56B74C" w14:textId="75D3781D" w:rsidR="00474FFA" w:rsidRPr="00112B45" w:rsidRDefault="00474FFA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School of Indigenous Education                                   </w:t>
            </w:r>
            <w:r w:rsidR="002A6364">
              <w:rPr>
                <w:rFonts w:ascii="Calibri" w:eastAsia="Times New Roman" w:hAnsi="Calibri" w:cs="Times New Roman"/>
              </w:rPr>
              <w:t xml:space="preserve">           </w:t>
            </w:r>
            <w:r w:rsidR="00112B45">
              <w:rPr>
                <w:rFonts w:ascii="Calibri" w:eastAsia="Times New Roman" w:hAnsi="Calibri" w:cs="Times New Roman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</w:rPr>
                <w:id w:val="19854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 xml:space="preserve">   </w:t>
            </w:r>
          </w:p>
          <w:p w14:paraId="78EB1418" w14:textId="4CB3D803" w:rsidR="00474FFA" w:rsidRPr="00112B45" w:rsidRDefault="00474FFA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School of Skilled Trades                                             </w:t>
            </w:r>
            <w:r w:rsidR="002A6364">
              <w:rPr>
                <w:rFonts w:ascii="Calibri" w:eastAsia="Times New Roman" w:hAnsi="Calibri" w:cs="Times New Roman"/>
              </w:rPr>
              <w:t xml:space="preserve">           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r w:rsidR="00112B45">
              <w:rPr>
                <w:rFonts w:ascii="Calibri" w:eastAsia="Times New Roman" w:hAnsi="Calibri" w:cs="Times New Roman"/>
              </w:rPr>
              <w:t xml:space="preserve">  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60888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 xml:space="preserve">   </w:t>
            </w:r>
          </w:p>
          <w:p w14:paraId="4D06295F" w14:textId="2A72BF16" w:rsidR="00474FFA" w:rsidRPr="00112B45" w:rsidRDefault="00474FFA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Student Support Services                                           </w:t>
            </w:r>
            <w:r w:rsidR="002A6364">
              <w:rPr>
                <w:rFonts w:ascii="Calibri" w:eastAsia="Times New Roman" w:hAnsi="Calibri" w:cs="Times New Roman"/>
              </w:rPr>
              <w:t xml:space="preserve">           </w:t>
            </w:r>
            <w:r w:rsidRPr="00112B45">
              <w:rPr>
                <w:rFonts w:ascii="Calibri" w:eastAsia="Times New Roman" w:hAnsi="Calibri" w:cs="Times New Roman"/>
              </w:rPr>
              <w:t xml:space="preserve">  </w:t>
            </w:r>
            <w:r w:rsidR="00112B45">
              <w:rPr>
                <w:rFonts w:ascii="Calibri" w:eastAsia="Times New Roman" w:hAnsi="Calibri" w:cs="Times New Roman"/>
              </w:rPr>
              <w:t xml:space="preserve"> 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38410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</w:rPr>
              <w:t xml:space="preserve">   </w:t>
            </w:r>
          </w:p>
          <w:p w14:paraId="0BC4F593" w14:textId="0F197A39" w:rsidR="00035585" w:rsidRPr="00112B45" w:rsidRDefault="00035585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Procurement    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    </w:t>
            </w:r>
            <w:r w:rsidRPr="00112B45">
              <w:rPr>
                <w:rFonts w:ascii="Calibri" w:eastAsia="Times New Roman" w:hAnsi="Calibri" w:cs="Times New Roman"/>
              </w:rPr>
              <w:t xml:space="preserve">                                                     </w:t>
            </w:r>
            <w:r w:rsidR="002A6364">
              <w:rPr>
                <w:rFonts w:ascii="Calibri" w:eastAsia="Times New Roman" w:hAnsi="Calibri" w:cs="Times New Roman"/>
              </w:rPr>
              <w:t xml:space="preserve">           </w:t>
            </w:r>
            <w:r w:rsidRPr="00112B45">
              <w:rPr>
                <w:rFonts w:ascii="Calibri" w:eastAsia="Times New Roman" w:hAnsi="Calibri" w:cs="Times New Roman"/>
              </w:rPr>
              <w:t xml:space="preserve">  </w:t>
            </w:r>
            <w:r w:rsidR="00112B45">
              <w:rPr>
                <w:rFonts w:ascii="Calibri" w:eastAsia="Times New Roman" w:hAnsi="Calibri" w:cs="Times New Roman"/>
              </w:rPr>
              <w:t xml:space="preserve">  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7017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14:paraId="1E0DC133" w14:textId="4B2E946F" w:rsidR="00035585" w:rsidRPr="00112B45" w:rsidRDefault="00D146CE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Truth and Reconciliation Manager                        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</w:t>
            </w:r>
            <w:r w:rsidR="002A6364">
              <w:rPr>
                <w:rFonts w:ascii="Calibri" w:eastAsia="Times New Roman" w:hAnsi="Calibri" w:cs="Times New Roman"/>
              </w:rPr>
              <w:t xml:space="preserve">          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 </w:t>
            </w:r>
            <w:r w:rsidR="002A6364">
              <w:rPr>
                <w:rFonts w:ascii="Calibri" w:eastAsia="Times New Roman" w:hAnsi="Calibri" w:cs="Times New Roman"/>
              </w:rPr>
              <w:t xml:space="preserve">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r w:rsid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16139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85"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14:paraId="10B98F3B" w14:textId="7B78FFC9" w:rsidR="00035585" w:rsidRPr="00112B45" w:rsidRDefault="00035585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Resource and Resolution Advisor                    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   </w:t>
            </w:r>
            <w:r w:rsidR="002A6364">
              <w:rPr>
                <w:rFonts w:ascii="Calibri" w:eastAsia="Times New Roman" w:hAnsi="Calibri" w:cs="Times New Roman"/>
              </w:rPr>
              <w:t xml:space="preserve">          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</w:t>
            </w:r>
            <w:r w:rsidRPr="00112B45">
              <w:rPr>
                <w:rFonts w:ascii="Calibri" w:eastAsia="Times New Roman" w:hAnsi="Calibri" w:cs="Times New Roman"/>
              </w:rPr>
              <w:t xml:space="preserve">     </w:t>
            </w:r>
            <w:r w:rsidR="00112B45">
              <w:rPr>
                <w:rFonts w:ascii="Calibri" w:eastAsia="Times New Roman" w:hAnsi="Calibri" w:cs="Times New Roman"/>
              </w:rPr>
              <w:t xml:space="preserve"> 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904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14:paraId="39B88BC6" w14:textId="22DFC240" w:rsidR="00035585" w:rsidRPr="00112B45" w:rsidRDefault="00035585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Diversity and Equity Officer                           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    </w:t>
            </w:r>
            <w:r w:rsidR="002A6364">
              <w:rPr>
                <w:rFonts w:ascii="Calibri" w:eastAsia="Times New Roman" w:hAnsi="Calibri" w:cs="Times New Roman"/>
              </w:rPr>
              <w:t xml:space="preserve">           </w:t>
            </w:r>
            <w:r w:rsidRPr="00112B45">
              <w:rPr>
                <w:rFonts w:ascii="Calibri" w:eastAsia="Times New Roman" w:hAnsi="Calibri" w:cs="Times New Roman"/>
              </w:rPr>
              <w:t xml:space="preserve">      </w:t>
            </w:r>
            <w:r w:rsidR="00112B45">
              <w:rPr>
                <w:rFonts w:ascii="Calibri" w:eastAsia="Times New Roman" w:hAnsi="Calibri" w:cs="Times New Roman"/>
              </w:rPr>
              <w:t xml:space="preserve">   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165764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14:paraId="77D6ED63" w14:textId="38ACFC51" w:rsidR="00035585" w:rsidRPr="00112B45" w:rsidRDefault="00035585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Registrar                                                       </w:t>
            </w:r>
            <w:r w:rsidR="00474FFA" w:rsidRPr="00112B45">
              <w:rPr>
                <w:rFonts w:ascii="Calibri" w:eastAsia="Times New Roman" w:hAnsi="Calibri" w:cs="Times New Roman"/>
              </w:rPr>
              <w:t xml:space="preserve">     </w:t>
            </w:r>
            <w:r w:rsidRPr="00112B45">
              <w:rPr>
                <w:rFonts w:ascii="Calibri" w:eastAsia="Times New Roman" w:hAnsi="Calibri" w:cs="Times New Roman"/>
              </w:rPr>
              <w:t xml:space="preserve">      </w:t>
            </w:r>
            <w:r w:rsidR="002A6364">
              <w:rPr>
                <w:rFonts w:ascii="Calibri" w:eastAsia="Times New Roman" w:hAnsi="Calibri" w:cs="Times New Roman"/>
              </w:rPr>
              <w:t xml:space="preserve">           </w:t>
            </w:r>
            <w:r w:rsidRPr="00112B45">
              <w:rPr>
                <w:rFonts w:ascii="Calibri" w:eastAsia="Times New Roman" w:hAnsi="Calibri" w:cs="Times New Roman"/>
              </w:rPr>
              <w:t xml:space="preserve">    </w:t>
            </w:r>
            <w:r w:rsidR="00112B45">
              <w:rPr>
                <w:rFonts w:ascii="Calibri" w:eastAsia="Times New Roman" w:hAnsi="Calibri" w:cs="Times New Roman"/>
              </w:rPr>
              <w:t xml:space="preserve">      </w:t>
            </w:r>
            <w:r w:rsidRPr="00112B45">
              <w:rPr>
                <w:rFonts w:ascii="Calibri" w:eastAsia="Times New Roman" w:hAnsi="Calibri" w:cs="Times New Roman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1720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14:paraId="2E56AED0" w14:textId="65969182" w:rsidR="00035585" w:rsidRPr="00112B45" w:rsidRDefault="00D146CE" w:rsidP="002A6364">
            <w:pPr>
              <w:tabs>
                <w:tab w:val="left" w:pos="432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>Other Stakeholders or SME</w:t>
            </w:r>
            <w:r w:rsidRPr="00112B45">
              <w:rPr>
                <w:rFonts w:ascii="Calibri" w:eastAsia="Times New Roman" w:hAnsi="Calibri" w:cs="Times New Roman"/>
              </w:rPr>
              <w:tab/>
            </w:r>
            <w:r w:rsidR="002A6364">
              <w:rPr>
                <w:rFonts w:ascii="Calibri" w:eastAsia="Times New Roman" w:hAnsi="Calibri" w:cs="Times New Roman"/>
              </w:rPr>
              <w:t xml:space="preserve">           </w:t>
            </w:r>
            <w:r w:rsidR="00112B45">
              <w:rPr>
                <w:rFonts w:ascii="Calibri" w:eastAsia="Times New Roman" w:hAnsi="Calibri" w:cs="Times New Roman"/>
              </w:rPr>
              <w:t xml:space="preserve">    </w:t>
            </w:r>
            <w:r w:rsidRPr="00112B45">
              <w:rPr>
                <w:rFonts w:ascii="Calibri" w:eastAsia="Times New Roman" w:hAnsi="Calibri" w:cs="Times New Roman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</w:rPr>
                <w:id w:val="9011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85" w:rsidRPr="00112B4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035585" w:rsidRPr="00112B45">
              <w:rPr>
                <w:rFonts w:ascii="Calibri" w:eastAsia="Times New Roman" w:hAnsi="Calibri" w:cs="Times New Roman"/>
              </w:rPr>
              <w:t xml:space="preserve">   </w:t>
            </w:r>
          </w:p>
          <w:p w14:paraId="4E7D3BED" w14:textId="77777777" w:rsidR="00035585" w:rsidRPr="00112B45" w:rsidRDefault="00035585" w:rsidP="002A6364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018744C5" w14:textId="77777777" w:rsidR="00035585" w:rsidRDefault="00035585" w:rsidP="002A6364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12B45">
              <w:rPr>
                <w:rFonts w:ascii="Calibri" w:eastAsia="Times New Roman" w:hAnsi="Calibri" w:cs="Times New Roman"/>
              </w:rPr>
              <w:t xml:space="preserve">Who are the “other” stakeholders that you believe should be involved? </w:t>
            </w:r>
          </w:p>
          <w:p w14:paraId="09DC1554" w14:textId="77777777" w:rsidR="00C133CE" w:rsidRDefault="00C133CE" w:rsidP="002A6364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1968F9BB" w14:textId="77777777" w:rsidR="00C133CE" w:rsidRDefault="00C133CE" w:rsidP="002A6364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41810294" w14:textId="77777777" w:rsidR="00C133CE" w:rsidRDefault="00C133CE" w:rsidP="002A6364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16030E09" w14:textId="6B4141AA" w:rsidR="00C133CE" w:rsidRPr="00112B45" w:rsidRDefault="00C133CE" w:rsidP="002A6364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</w:tr>
      <w:tr w:rsidR="00035585" w:rsidRPr="00112B45" w14:paraId="6465C662" w14:textId="77777777" w:rsidTr="00035585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00B96BB6" w14:textId="0A02F8B1" w:rsidR="00035585" w:rsidRPr="00112B45" w:rsidRDefault="00C133CE" w:rsidP="00D3094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 xml:space="preserve">How may these stakeholders </w:t>
            </w:r>
            <w:r w:rsidR="00035585" w:rsidRPr="00112B45">
              <w:rPr>
                <w:rFonts w:ascii="Calibri" w:eastAsia="Times New Roman" w:hAnsi="Calibri" w:cs="Times New Roman"/>
                <w:b/>
              </w:rPr>
              <w:t>be affected by the proposed policy/procedure</w:t>
            </w:r>
            <w:r>
              <w:rPr>
                <w:rFonts w:ascii="Calibri" w:eastAsia="Times New Roman" w:hAnsi="Calibri" w:cs="Times New Roman"/>
                <w:b/>
              </w:rPr>
              <w:t xml:space="preserve"> and how does</w:t>
            </w:r>
            <w:r w:rsidR="00D33B23" w:rsidRPr="00112B45">
              <w:rPr>
                <w:rFonts w:ascii="Calibri" w:eastAsia="Times New Roman" w:hAnsi="Calibri" w:cs="Times New Roman"/>
                <w:b/>
              </w:rPr>
              <w:t xml:space="preserve"> this impact the kinds of consultations you undertake</w:t>
            </w:r>
            <w:r w:rsidR="00035585" w:rsidRPr="00112B45">
              <w:rPr>
                <w:rFonts w:ascii="Calibri" w:eastAsia="Times New Roman" w:hAnsi="Calibri" w:cs="Times New Roman"/>
                <w:b/>
              </w:rPr>
              <w:t>?</w:t>
            </w:r>
          </w:p>
        </w:tc>
      </w:tr>
      <w:tr w:rsidR="00035585" w:rsidRPr="00112B45" w14:paraId="17B6AF9C" w14:textId="77777777" w:rsidTr="00035585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2F789052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3F455C40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62F0E182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4E082566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298F867C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02270104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2D5EB23F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24E8F2C8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</w:tr>
      <w:tr w:rsidR="00035585" w:rsidRPr="00112B45" w14:paraId="29693F35" w14:textId="77777777" w:rsidTr="00035585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567BBC0D" w14:textId="77777777" w:rsidR="00035585" w:rsidRPr="00112B45" w:rsidRDefault="00035585" w:rsidP="00D3094A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  <w:r w:rsidRPr="00112B45">
              <w:rPr>
                <w:rFonts w:ascii="Calibri" w:eastAsia="Times New Roman" w:hAnsi="Calibri" w:cs="Times New Roman"/>
                <w:b/>
              </w:rPr>
              <w:t>Consider whether it would be helpful or appropriate to form a Policy Working Group, a group of SMEs/stakeholders to work collaboratively to develop an approach to the policy/procedure prior to drafting</w:t>
            </w:r>
            <w:r w:rsidR="00D33B23" w:rsidRPr="00112B45">
              <w:rPr>
                <w:rFonts w:ascii="Calibri" w:eastAsia="Times New Roman" w:hAnsi="Calibri" w:cs="Times New Roman"/>
                <w:b/>
              </w:rPr>
              <w:t xml:space="preserve"> and to assist you in vetting a draft of the Policy from an interdepartmental perspective.</w:t>
            </w:r>
            <w:r w:rsidRPr="00112B45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  <w:p w14:paraId="63EA2A65" w14:textId="77777777" w:rsidR="00035585" w:rsidRPr="00112B45" w:rsidRDefault="00035585" w:rsidP="00D3094A">
            <w:pPr>
              <w:spacing w:after="0" w:line="276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  <w:r w:rsidRPr="00112B45">
              <w:rPr>
                <w:rFonts w:ascii="Calibri" w:eastAsia="Times New Roman" w:hAnsi="Calibri" w:cs="Times New Roman"/>
                <w:b/>
              </w:rPr>
              <w:t xml:space="preserve">Yes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11455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  <w:b/>
              </w:rPr>
              <w:t xml:space="preserve">    No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9127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  <w:b/>
              </w:rPr>
              <w:t xml:space="preserve">    </w:t>
            </w:r>
          </w:p>
        </w:tc>
      </w:tr>
      <w:tr w:rsidR="00035585" w:rsidRPr="00112B45" w14:paraId="72F96B8F" w14:textId="77777777" w:rsidTr="00035585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45AA97EA" w14:textId="39D3E5E7" w:rsidR="00D33B23" w:rsidRPr="00112B4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112B45">
              <w:rPr>
                <w:rFonts w:ascii="Calibri" w:eastAsia="Times New Roman" w:hAnsi="Calibri" w:cs="Times New Roman"/>
                <w:i/>
              </w:rPr>
              <w:t>If no, how will you consult with the stakeholders</w:t>
            </w:r>
            <w:r w:rsidR="00474FFA" w:rsidRPr="00112B45">
              <w:rPr>
                <w:rFonts w:ascii="Calibri" w:eastAsia="Times New Roman" w:hAnsi="Calibri" w:cs="Times New Roman"/>
                <w:i/>
              </w:rPr>
              <w:t>? Consider whether surveys, staff news or other mechanisms may be appropriate.</w:t>
            </w:r>
          </w:p>
          <w:p w14:paraId="3C92C6AC" w14:textId="77777777" w:rsidR="00D33B23" w:rsidRPr="00112B4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65DC8614" w14:textId="77777777" w:rsidR="00D33B23" w:rsidRPr="00112B4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5810A60D" w14:textId="77777777" w:rsidR="00D33B23" w:rsidRPr="00112B4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11BF1312" w14:textId="77777777" w:rsidR="00D33B23" w:rsidRPr="00112B4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6A4B64EA" w14:textId="77777777" w:rsidR="00D33B23" w:rsidRPr="00112B4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696B5ADE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112B45">
              <w:rPr>
                <w:rFonts w:ascii="Calibri" w:eastAsia="Times New Roman" w:hAnsi="Calibri" w:cs="Times New Roman"/>
                <w:i/>
              </w:rPr>
              <w:t>If ‘Yes’, consider who should be asked to form the members</w:t>
            </w:r>
            <w:r w:rsidR="00D33B23" w:rsidRPr="00112B45">
              <w:rPr>
                <w:rFonts w:ascii="Calibri" w:eastAsia="Times New Roman" w:hAnsi="Calibri" w:cs="Times New Roman"/>
                <w:i/>
              </w:rPr>
              <w:t>hip of the Policy Working Group.</w:t>
            </w:r>
          </w:p>
          <w:p w14:paraId="5689EC23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0434CD5D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78B729AC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25C690DD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4DB03EFB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7D6D1512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  <w:p w14:paraId="5CCE5756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</w:tr>
      <w:tr w:rsidR="00035585" w:rsidRPr="00112B45" w14:paraId="0AFB8932" w14:textId="77777777" w:rsidTr="00035585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50B29078" w14:textId="33AC2B4B" w:rsidR="00035585" w:rsidRPr="00D3094A" w:rsidRDefault="00D33B23" w:rsidP="002A636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D3094A">
              <w:rPr>
                <w:rFonts w:ascii="Calibri" w:eastAsia="Times New Roman" w:hAnsi="Calibri" w:cs="Times New Roman"/>
                <w:b/>
                <w:bCs/>
                <w:iCs/>
              </w:rPr>
              <w:t xml:space="preserve">Are there timing constraints or </w:t>
            </w:r>
            <w:proofErr w:type="gramStart"/>
            <w:r w:rsidRPr="00D3094A">
              <w:rPr>
                <w:rFonts w:ascii="Calibri" w:eastAsia="Times New Roman" w:hAnsi="Calibri" w:cs="Times New Roman"/>
                <w:b/>
                <w:bCs/>
                <w:iCs/>
              </w:rPr>
              <w:t>risks</w:t>
            </w:r>
            <w:proofErr w:type="gramEnd"/>
          </w:p>
          <w:p w14:paraId="6D5D3A8F" w14:textId="77777777" w:rsidR="00035585" w:rsidRPr="00112B45" w:rsidRDefault="00035585" w:rsidP="002A6364">
            <w:pPr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iCs/>
              </w:rPr>
            </w:pPr>
            <w:r w:rsidRPr="00112B45">
              <w:rPr>
                <w:rFonts w:ascii="Calibri" w:eastAsia="Times New Roman" w:hAnsi="Calibri" w:cs="Times New Roman"/>
                <w:b/>
              </w:rPr>
              <w:t xml:space="preserve">Yes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41693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  <w:b/>
              </w:rPr>
              <w:t xml:space="preserve">    No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196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B45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112B45">
              <w:rPr>
                <w:rFonts w:ascii="Calibri" w:eastAsia="Times New Roman" w:hAnsi="Calibri" w:cs="Times New Roman"/>
                <w:b/>
              </w:rPr>
              <w:t xml:space="preserve">    </w:t>
            </w:r>
          </w:p>
          <w:p w14:paraId="2C9C8087" w14:textId="77777777" w:rsidR="00035585" w:rsidRPr="00112B45" w:rsidRDefault="00035585" w:rsidP="002A6364">
            <w:pPr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iCs/>
              </w:rPr>
            </w:pPr>
          </w:p>
        </w:tc>
      </w:tr>
      <w:tr w:rsidR="00035585" w:rsidRPr="00112B45" w14:paraId="69269BA8" w14:textId="77777777" w:rsidTr="00035585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6ECB07F2" w14:textId="77777777" w:rsidR="00D33B23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112B45">
              <w:rPr>
                <w:rFonts w:ascii="Calibri" w:eastAsia="Times New Roman" w:hAnsi="Calibri" w:cs="Times New Roman"/>
                <w:i/>
                <w:iCs/>
              </w:rPr>
              <w:t>If yes,</w:t>
            </w:r>
            <w:r w:rsidR="00D33B23" w:rsidRPr="00112B45">
              <w:rPr>
                <w:rFonts w:ascii="Calibri" w:eastAsia="Times New Roman" w:hAnsi="Calibri" w:cs="Times New Roman"/>
                <w:i/>
                <w:iCs/>
              </w:rPr>
              <w:t xml:space="preserve"> what are they</w:t>
            </w:r>
          </w:p>
          <w:p w14:paraId="7DFCC55F" w14:textId="77777777" w:rsidR="00D33B23" w:rsidRPr="00112B4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  <w:p w14:paraId="652CD475" w14:textId="77777777" w:rsidR="00D33B23" w:rsidRPr="00112B4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  <w:p w14:paraId="03DF6B98" w14:textId="77777777" w:rsidR="00D33B23" w:rsidRPr="00112B4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  <w:p w14:paraId="6A97E575" w14:textId="77777777" w:rsidR="0003558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112B45">
              <w:rPr>
                <w:rFonts w:ascii="Calibri" w:eastAsia="Times New Roman" w:hAnsi="Calibri" w:cs="Times New Roman"/>
                <w:i/>
                <w:iCs/>
              </w:rPr>
              <w:t>If yes,</w:t>
            </w:r>
            <w:r w:rsidR="00035585" w:rsidRPr="00112B45">
              <w:rPr>
                <w:rFonts w:ascii="Calibri" w:eastAsia="Times New Roman" w:hAnsi="Calibri" w:cs="Times New Roman"/>
                <w:i/>
                <w:iCs/>
              </w:rPr>
              <w:t xml:space="preserve"> how will you address them?</w:t>
            </w:r>
          </w:p>
          <w:p w14:paraId="2DF9DAF9" w14:textId="77777777" w:rsidR="00C133CE" w:rsidRDefault="00C133CE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  <w:p w14:paraId="2202346C" w14:textId="77777777" w:rsidR="00C133CE" w:rsidRDefault="00C133CE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  <w:p w14:paraId="636A0B13" w14:textId="77777777" w:rsidR="00C133CE" w:rsidRDefault="00C133CE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  <w:p w14:paraId="52EC8936" w14:textId="77777777" w:rsidR="00C133CE" w:rsidRDefault="00C133CE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  <w:p w14:paraId="0122FAC4" w14:textId="77777777" w:rsidR="00C133CE" w:rsidRDefault="00C133CE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  <w:p w14:paraId="75ECEFD4" w14:textId="77777777" w:rsidR="00C133CE" w:rsidRDefault="00C133CE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  <w:p w14:paraId="44D98DED" w14:textId="35FAE9ED" w:rsidR="00C133CE" w:rsidRPr="00112B45" w:rsidRDefault="00C133CE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</w:tc>
      </w:tr>
      <w:tr w:rsidR="00035585" w:rsidRPr="00112B45" w14:paraId="52F44E6C" w14:textId="77777777" w:rsidTr="00035585">
        <w:trPr>
          <w:trHeight w:val="259"/>
          <w:jc w:val="center"/>
        </w:trPr>
        <w:tc>
          <w:tcPr>
            <w:tcW w:w="10056" w:type="dxa"/>
            <w:gridSpan w:val="2"/>
            <w:shd w:val="clear" w:color="auto" w:fill="auto"/>
          </w:tcPr>
          <w:p w14:paraId="092E5EB7" w14:textId="77777777" w:rsidR="00035585" w:rsidRPr="00D3094A" w:rsidRDefault="00035585" w:rsidP="002A636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D3094A">
              <w:rPr>
                <w:rFonts w:ascii="Calibri" w:eastAsia="Times New Roman" w:hAnsi="Calibri" w:cs="Times New Roman"/>
                <w:b/>
                <w:bCs/>
                <w:iCs/>
              </w:rPr>
              <w:lastRenderedPageBreak/>
              <w:t>Plan your stakeholder engagement/consultation timeline.</w:t>
            </w:r>
          </w:p>
        </w:tc>
      </w:tr>
      <w:tr w:rsidR="00035585" w:rsidRPr="00112B45" w14:paraId="5C41FEF7" w14:textId="77777777" w:rsidTr="00035585">
        <w:trPr>
          <w:trHeight w:val="2056"/>
          <w:jc w:val="center"/>
        </w:trPr>
        <w:tc>
          <w:tcPr>
            <w:tcW w:w="10056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62"/>
              <w:gridCol w:w="3212"/>
              <w:gridCol w:w="3132"/>
            </w:tblGrid>
            <w:tr w:rsidR="00035585" w:rsidRPr="00112B45" w14:paraId="40061B07" w14:textId="77777777" w:rsidTr="00035585">
              <w:tc>
                <w:tcPr>
                  <w:tcW w:w="3162" w:type="dxa"/>
                </w:tcPr>
                <w:p w14:paraId="01716B11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b/>
                      <w:iCs/>
                    </w:rPr>
                  </w:pPr>
                  <w:r w:rsidRPr="00112B45">
                    <w:rPr>
                      <w:rFonts w:ascii="Calibri" w:eastAsia="Times New Roman" w:hAnsi="Calibri" w:cs="Times New Roman"/>
                      <w:b/>
                      <w:iCs/>
                    </w:rPr>
                    <w:t>Consultation date</w:t>
                  </w:r>
                </w:p>
              </w:tc>
              <w:tc>
                <w:tcPr>
                  <w:tcW w:w="3212" w:type="dxa"/>
                </w:tcPr>
                <w:p w14:paraId="772518E1" w14:textId="77777777" w:rsidR="00035585" w:rsidRPr="00112B45" w:rsidRDefault="00035585" w:rsidP="002A6364">
                  <w:pPr>
                    <w:ind w:firstLine="720"/>
                    <w:contextualSpacing/>
                    <w:jc w:val="both"/>
                    <w:rPr>
                      <w:rFonts w:ascii="Calibri" w:eastAsia="Times New Roman" w:hAnsi="Calibri" w:cs="Times New Roman"/>
                      <w:b/>
                      <w:iCs/>
                    </w:rPr>
                  </w:pPr>
                  <w:r w:rsidRPr="00112B45">
                    <w:rPr>
                      <w:rFonts w:ascii="Calibri" w:eastAsia="Times New Roman" w:hAnsi="Calibri" w:cs="Times New Roman"/>
                      <w:b/>
                      <w:iCs/>
                    </w:rPr>
                    <w:t>Stakeholders</w:t>
                  </w:r>
                </w:p>
              </w:tc>
              <w:tc>
                <w:tcPr>
                  <w:tcW w:w="3132" w:type="dxa"/>
                </w:tcPr>
                <w:p w14:paraId="6538684C" w14:textId="227CCB22" w:rsidR="00035585" w:rsidRPr="00112B45" w:rsidRDefault="00C133CE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b/>
                      <w:i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</w:rPr>
                    <w:t>Consultation Type</w:t>
                  </w:r>
                </w:p>
              </w:tc>
            </w:tr>
            <w:tr w:rsidR="00035585" w:rsidRPr="00112B45" w14:paraId="764250DA" w14:textId="77777777" w:rsidTr="00035585">
              <w:tc>
                <w:tcPr>
                  <w:tcW w:w="3162" w:type="dxa"/>
                </w:tcPr>
                <w:p w14:paraId="4547B934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212" w:type="dxa"/>
                </w:tcPr>
                <w:p w14:paraId="6B98DBAD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132" w:type="dxa"/>
                </w:tcPr>
                <w:p w14:paraId="6230693E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</w:tr>
            <w:tr w:rsidR="00035585" w:rsidRPr="00112B45" w14:paraId="5D77934E" w14:textId="77777777" w:rsidTr="00035585">
              <w:tc>
                <w:tcPr>
                  <w:tcW w:w="3162" w:type="dxa"/>
                </w:tcPr>
                <w:p w14:paraId="6924B986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212" w:type="dxa"/>
                </w:tcPr>
                <w:p w14:paraId="40EE2D1C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132" w:type="dxa"/>
                </w:tcPr>
                <w:p w14:paraId="0C456670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</w:tr>
            <w:tr w:rsidR="00035585" w:rsidRPr="00112B45" w14:paraId="7A69A427" w14:textId="77777777" w:rsidTr="00035585">
              <w:tc>
                <w:tcPr>
                  <w:tcW w:w="3162" w:type="dxa"/>
                </w:tcPr>
                <w:p w14:paraId="4F5AEF27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212" w:type="dxa"/>
                </w:tcPr>
                <w:p w14:paraId="6E958082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132" w:type="dxa"/>
                </w:tcPr>
                <w:p w14:paraId="786FF728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</w:tr>
            <w:tr w:rsidR="00035585" w:rsidRPr="00112B45" w14:paraId="4C800501" w14:textId="77777777" w:rsidTr="00035585">
              <w:tc>
                <w:tcPr>
                  <w:tcW w:w="3162" w:type="dxa"/>
                </w:tcPr>
                <w:p w14:paraId="41CB584A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212" w:type="dxa"/>
                </w:tcPr>
                <w:p w14:paraId="3106ECEB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132" w:type="dxa"/>
                </w:tcPr>
                <w:p w14:paraId="71BBCBA2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</w:tr>
            <w:tr w:rsidR="00035585" w:rsidRPr="00112B45" w14:paraId="56896B2A" w14:textId="77777777" w:rsidTr="00035585">
              <w:tc>
                <w:tcPr>
                  <w:tcW w:w="3162" w:type="dxa"/>
                </w:tcPr>
                <w:p w14:paraId="664CDAA4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212" w:type="dxa"/>
                </w:tcPr>
                <w:p w14:paraId="2D6CB945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132" w:type="dxa"/>
                </w:tcPr>
                <w:p w14:paraId="3F0C50ED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</w:tr>
            <w:tr w:rsidR="00035585" w:rsidRPr="00112B45" w14:paraId="52837EFB" w14:textId="77777777" w:rsidTr="00035585">
              <w:tc>
                <w:tcPr>
                  <w:tcW w:w="3162" w:type="dxa"/>
                </w:tcPr>
                <w:p w14:paraId="70E106A4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212" w:type="dxa"/>
                </w:tcPr>
                <w:p w14:paraId="03C8C05C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  <w:tc>
                <w:tcPr>
                  <w:tcW w:w="3132" w:type="dxa"/>
                </w:tcPr>
                <w:p w14:paraId="478849C9" w14:textId="77777777" w:rsidR="00035585" w:rsidRPr="00112B45" w:rsidRDefault="00035585" w:rsidP="002A6364">
                  <w:pPr>
                    <w:contextualSpacing/>
                    <w:jc w:val="both"/>
                    <w:rPr>
                      <w:rFonts w:ascii="Calibri" w:eastAsia="Times New Roman" w:hAnsi="Calibri" w:cs="Times New Roman"/>
                      <w:iCs/>
                    </w:rPr>
                  </w:pPr>
                </w:p>
              </w:tc>
            </w:tr>
          </w:tbl>
          <w:p w14:paraId="19AB50A8" w14:textId="77777777" w:rsidR="00035585" w:rsidRPr="00112B45" w:rsidRDefault="00035585" w:rsidP="002A6364">
            <w:pPr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iCs/>
              </w:rPr>
            </w:pPr>
          </w:p>
        </w:tc>
      </w:tr>
      <w:tr w:rsidR="00035585" w:rsidRPr="00112B45" w14:paraId="770AF56C" w14:textId="77777777" w:rsidTr="00035585">
        <w:trPr>
          <w:trHeight w:val="259"/>
          <w:jc w:val="center"/>
        </w:trPr>
        <w:tc>
          <w:tcPr>
            <w:tcW w:w="2970" w:type="dxa"/>
            <w:shd w:val="clear" w:color="auto" w:fill="auto"/>
          </w:tcPr>
          <w:p w14:paraId="6ADF43F0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112B45">
              <w:rPr>
                <w:rFonts w:ascii="Calibri" w:eastAsia="Times New Roman" w:hAnsi="Calibri" w:cs="Times New Roman"/>
                <w:b/>
              </w:rPr>
              <w:t>Name of Policy Owner</w:t>
            </w:r>
            <w:r w:rsidR="00D33B23" w:rsidRPr="00112B45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7086" w:type="dxa"/>
            <w:shd w:val="clear" w:color="auto" w:fill="auto"/>
          </w:tcPr>
          <w:p w14:paraId="123E31D8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</w:tr>
      <w:tr w:rsidR="00D33B23" w:rsidRPr="00112B45" w14:paraId="1E7A62FA" w14:textId="77777777" w:rsidTr="00035585">
        <w:trPr>
          <w:trHeight w:val="259"/>
          <w:jc w:val="center"/>
        </w:trPr>
        <w:tc>
          <w:tcPr>
            <w:tcW w:w="2970" w:type="dxa"/>
            <w:shd w:val="clear" w:color="auto" w:fill="auto"/>
          </w:tcPr>
          <w:p w14:paraId="7A7614C9" w14:textId="46CB06B6" w:rsidR="00D33B23" w:rsidRPr="00112B4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112B45">
              <w:rPr>
                <w:rFonts w:ascii="Calibri" w:eastAsia="Times New Roman" w:hAnsi="Calibri" w:cs="Times New Roman"/>
                <w:b/>
              </w:rPr>
              <w:t xml:space="preserve">Name of </w:t>
            </w:r>
            <w:r w:rsidR="001F351B" w:rsidRPr="00112B45">
              <w:rPr>
                <w:rFonts w:ascii="Calibri" w:eastAsia="Times New Roman" w:hAnsi="Calibri" w:cs="Times New Roman"/>
                <w:b/>
              </w:rPr>
              <w:t>Designate</w:t>
            </w:r>
            <w:r w:rsidRPr="00112B45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7086" w:type="dxa"/>
            <w:shd w:val="clear" w:color="auto" w:fill="auto"/>
          </w:tcPr>
          <w:p w14:paraId="1F085A3C" w14:textId="77777777" w:rsidR="00D33B23" w:rsidRPr="00112B45" w:rsidRDefault="00D33B23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</w:tr>
      <w:tr w:rsidR="00035585" w:rsidRPr="00112B45" w14:paraId="19A09B29" w14:textId="77777777" w:rsidTr="00035585">
        <w:trPr>
          <w:trHeight w:val="259"/>
          <w:jc w:val="center"/>
        </w:trPr>
        <w:tc>
          <w:tcPr>
            <w:tcW w:w="2970" w:type="dxa"/>
            <w:shd w:val="clear" w:color="auto" w:fill="auto"/>
          </w:tcPr>
          <w:p w14:paraId="5833C69E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112B45">
              <w:rPr>
                <w:rFonts w:ascii="Calibri" w:eastAsia="Times New Roman" w:hAnsi="Calibri" w:cs="Times New Roman"/>
                <w:b/>
              </w:rPr>
              <w:t xml:space="preserve">Date: </w:t>
            </w:r>
          </w:p>
        </w:tc>
        <w:tc>
          <w:tcPr>
            <w:tcW w:w="7086" w:type="dxa"/>
            <w:shd w:val="clear" w:color="auto" w:fill="auto"/>
          </w:tcPr>
          <w:p w14:paraId="55578545" w14:textId="77777777" w:rsidR="00035585" w:rsidRPr="00112B45" w:rsidRDefault="00035585" w:rsidP="002A63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</w:tr>
    </w:tbl>
    <w:p w14:paraId="416D275F" w14:textId="77777777" w:rsidR="00D33B23" w:rsidRPr="00112B45" w:rsidRDefault="00D33B23" w:rsidP="00035585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80C2422" w14:textId="1F080894" w:rsidR="00112B45" w:rsidRPr="000C554A" w:rsidRDefault="00112B45" w:rsidP="00AD16D3">
      <w:pPr>
        <w:rPr>
          <w:rFonts w:ascii="Calibri" w:hAnsi="Calibri"/>
          <w:iCs/>
        </w:rPr>
      </w:pPr>
    </w:p>
    <w:sectPr w:rsidR="00112B45" w:rsidRPr="000C554A" w:rsidSect="00A2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0BA2" w14:textId="77777777" w:rsidR="00E101DA" w:rsidRDefault="00E101DA" w:rsidP="00E9542B">
      <w:pPr>
        <w:spacing w:after="0" w:line="240" w:lineRule="auto"/>
      </w:pPr>
      <w:r>
        <w:separator/>
      </w:r>
    </w:p>
  </w:endnote>
  <w:endnote w:type="continuationSeparator" w:id="0">
    <w:p w14:paraId="73698207" w14:textId="77777777" w:rsidR="00E101DA" w:rsidRDefault="00E101DA" w:rsidP="00E9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04B9" w14:textId="77777777" w:rsidR="00E9542B" w:rsidRDefault="00E95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663D" w14:textId="77777777" w:rsidR="00E9542B" w:rsidRDefault="00E95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6CBB" w14:textId="77777777" w:rsidR="00E9542B" w:rsidRDefault="00E95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981B" w14:textId="77777777" w:rsidR="00E101DA" w:rsidRDefault="00E101DA" w:rsidP="00E9542B">
      <w:pPr>
        <w:spacing w:after="0" w:line="240" w:lineRule="auto"/>
      </w:pPr>
      <w:r>
        <w:separator/>
      </w:r>
    </w:p>
  </w:footnote>
  <w:footnote w:type="continuationSeparator" w:id="0">
    <w:p w14:paraId="319586CD" w14:textId="77777777" w:rsidR="00E101DA" w:rsidRDefault="00E101DA" w:rsidP="00E9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BD34" w14:textId="77777777" w:rsidR="00E9542B" w:rsidRDefault="00E95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FD65" w14:textId="77777777" w:rsidR="00E9542B" w:rsidRDefault="00E95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0588" w14:textId="77777777" w:rsidR="00E9542B" w:rsidRDefault="00E95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9D1"/>
    <w:multiLevelType w:val="hybridMultilevel"/>
    <w:tmpl w:val="D0549B4E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B56"/>
    <w:multiLevelType w:val="hybridMultilevel"/>
    <w:tmpl w:val="931E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0EAA"/>
    <w:multiLevelType w:val="hybridMultilevel"/>
    <w:tmpl w:val="343E9862"/>
    <w:lvl w:ilvl="0" w:tplc="F4620A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174C3"/>
    <w:multiLevelType w:val="hybridMultilevel"/>
    <w:tmpl w:val="F47032D2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6DF"/>
    <w:multiLevelType w:val="hybridMultilevel"/>
    <w:tmpl w:val="F47032D2"/>
    <w:lvl w:ilvl="0" w:tplc="4D2C2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A32F6"/>
    <w:multiLevelType w:val="hybridMultilevel"/>
    <w:tmpl w:val="AAFAC56C"/>
    <w:lvl w:ilvl="0" w:tplc="8358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66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4CA"/>
    <w:multiLevelType w:val="hybridMultilevel"/>
    <w:tmpl w:val="E38AE12E"/>
    <w:lvl w:ilvl="0" w:tplc="491E5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B45B7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2598C"/>
    <w:multiLevelType w:val="hybridMultilevel"/>
    <w:tmpl w:val="1AAC7EA4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3078"/>
    <w:multiLevelType w:val="hybridMultilevel"/>
    <w:tmpl w:val="111E104C"/>
    <w:lvl w:ilvl="0" w:tplc="7042F3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C30996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0922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4EC1"/>
    <w:multiLevelType w:val="hybridMultilevel"/>
    <w:tmpl w:val="040826BC"/>
    <w:lvl w:ilvl="0" w:tplc="13062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062C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D23DE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368CA"/>
    <w:multiLevelType w:val="hybridMultilevel"/>
    <w:tmpl w:val="35BA9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4C768C"/>
    <w:multiLevelType w:val="hybridMultilevel"/>
    <w:tmpl w:val="9D682A24"/>
    <w:lvl w:ilvl="0" w:tplc="7A30EC9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F160763"/>
    <w:multiLevelType w:val="hybridMultilevel"/>
    <w:tmpl w:val="E4BA5186"/>
    <w:lvl w:ilvl="0" w:tplc="0D6C5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0C00"/>
    <w:multiLevelType w:val="hybridMultilevel"/>
    <w:tmpl w:val="F47032D2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F5034"/>
    <w:multiLevelType w:val="hybridMultilevel"/>
    <w:tmpl w:val="E9A60AD6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E3249"/>
    <w:multiLevelType w:val="hybridMultilevel"/>
    <w:tmpl w:val="2C481A2E"/>
    <w:lvl w:ilvl="0" w:tplc="56F2EC6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244BC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63912"/>
    <w:multiLevelType w:val="hybridMultilevel"/>
    <w:tmpl w:val="979822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308E6"/>
    <w:multiLevelType w:val="hybridMultilevel"/>
    <w:tmpl w:val="EB5819E8"/>
    <w:lvl w:ilvl="0" w:tplc="4D2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4"/>
  </w:num>
  <w:num w:numId="5">
    <w:abstractNumId w:val="19"/>
  </w:num>
  <w:num w:numId="6">
    <w:abstractNumId w:val="3"/>
  </w:num>
  <w:num w:numId="7">
    <w:abstractNumId w:val="5"/>
  </w:num>
  <w:num w:numId="8">
    <w:abstractNumId w:val="9"/>
  </w:num>
  <w:num w:numId="9">
    <w:abstractNumId w:val="14"/>
  </w:num>
  <w:num w:numId="10">
    <w:abstractNumId w:val="23"/>
  </w:num>
  <w:num w:numId="11">
    <w:abstractNumId w:val="8"/>
  </w:num>
  <w:num w:numId="12">
    <w:abstractNumId w:val="21"/>
  </w:num>
  <w:num w:numId="13">
    <w:abstractNumId w:val="0"/>
  </w:num>
  <w:num w:numId="14">
    <w:abstractNumId w:val="12"/>
  </w:num>
  <w:num w:numId="15">
    <w:abstractNumId w:val="11"/>
  </w:num>
  <w:num w:numId="16">
    <w:abstractNumId w:val="6"/>
  </w:num>
  <w:num w:numId="17">
    <w:abstractNumId w:val="2"/>
  </w:num>
  <w:num w:numId="18">
    <w:abstractNumId w:val="22"/>
  </w:num>
  <w:num w:numId="19">
    <w:abstractNumId w:val="13"/>
  </w:num>
  <w:num w:numId="20">
    <w:abstractNumId w:val="15"/>
  </w:num>
  <w:num w:numId="21">
    <w:abstractNumId w:val="1"/>
  </w:num>
  <w:num w:numId="22">
    <w:abstractNumId w:val="16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sTS2MDA2NTI3NLBU0lEKTi0uzszPAykwqgUA7dCBuSwAAAA="/>
  </w:docVars>
  <w:rsids>
    <w:rsidRoot w:val="005D2295"/>
    <w:rsid w:val="00035585"/>
    <w:rsid w:val="000C554A"/>
    <w:rsid w:val="000E2224"/>
    <w:rsid w:val="001042D7"/>
    <w:rsid w:val="00112B45"/>
    <w:rsid w:val="00183DEB"/>
    <w:rsid w:val="00195734"/>
    <w:rsid w:val="001C04BD"/>
    <w:rsid w:val="001D4DD0"/>
    <w:rsid w:val="001F351B"/>
    <w:rsid w:val="00256A70"/>
    <w:rsid w:val="00277ED1"/>
    <w:rsid w:val="00284C61"/>
    <w:rsid w:val="002931FC"/>
    <w:rsid w:val="002A6364"/>
    <w:rsid w:val="002B481F"/>
    <w:rsid w:val="002D30AA"/>
    <w:rsid w:val="00304471"/>
    <w:rsid w:val="003E244B"/>
    <w:rsid w:val="00451AB7"/>
    <w:rsid w:val="00454C7C"/>
    <w:rsid w:val="00474FFA"/>
    <w:rsid w:val="004A4A51"/>
    <w:rsid w:val="004C22EA"/>
    <w:rsid w:val="00566592"/>
    <w:rsid w:val="005D2295"/>
    <w:rsid w:val="006475C1"/>
    <w:rsid w:val="00697389"/>
    <w:rsid w:val="00707F38"/>
    <w:rsid w:val="00725DF0"/>
    <w:rsid w:val="00745C0E"/>
    <w:rsid w:val="007B509C"/>
    <w:rsid w:val="007F7E28"/>
    <w:rsid w:val="00815F64"/>
    <w:rsid w:val="0085416F"/>
    <w:rsid w:val="008E60E5"/>
    <w:rsid w:val="00942888"/>
    <w:rsid w:val="00A24C76"/>
    <w:rsid w:val="00A621D0"/>
    <w:rsid w:val="00AD16D3"/>
    <w:rsid w:val="00B31675"/>
    <w:rsid w:val="00B820EE"/>
    <w:rsid w:val="00BD0017"/>
    <w:rsid w:val="00BE4426"/>
    <w:rsid w:val="00BF1403"/>
    <w:rsid w:val="00C1324E"/>
    <w:rsid w:val="00C133CE"/>
    <w:rsid w:val="00CB07DF"/>
    <w:rsid w:val="00D146CE"/>
    <w:rsid w:val="00D3094A"/>
    <w:rsid w:val="00D33B23"/>
    <w:rsid w:val="00D94B27"/>
    <w:rsid w:val="00DE1F12"/>
    <w:rsid w:val="00E101DA"/>
    <w:rsid w:val="00E26F24"/>
    <w:rsid w:val="00E9542B"/>
    <w:rsid w:val="00EB3240"/>
    <w:rsid w:val="00EE2879"/>
    <w:rsid w:val="00F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E3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ED1"/>
    <w:pPr>
      <w:ind w:left="720"/>
      <w:contextualSpacing/>
    </w:pPr>
  </w:style>
  <w:style w:type="table" w:styleId="TableGrid">
    <w:name w:val="Table Grid"/>
    <w:basedOn w:val="TableNormal"/>
    <w:uiPriority w:val="39"/>
    <w:rsid w:val="000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5C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2B"/>
  </w:style>
  <w:style w:type="paragraph" w:styleId="Footer">
    <w:name w:val="footer"/>
    <w:basedOn w:val="Normal"/>
    <w:link w:val="FooterChar"/>
    <w:uiPriority w:val="99"/>
    <w:unhideWhenUsed/>
    <w:rsid w:val="00E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2B"/>
  </w:style>
  <w:style w:type="character" w:styleId="Hyperlink">
    <w:name w:val="Hyperlink"/>
    <w:basedOn w:val="DefaultParagraphFont"/>
    <w:uiPriority w:val="99"/>
    <w:unhideWhenUsed/>
    <w:rsid w:val="00BE4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4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06F5-69FA-4006-BA39-BB616126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2021-10-14T20:13:00Z</dcterms:created>
  <dcterms:modified xsi:type="dcterms:W3CDTF">2021-10-14T20:14:00Z</dcterms:modified>
</cp:coreProperties>
</file>